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兴业资管持有的债权项下抵押物为工业房地产的招商</w:t>
      </w:r>
      <w:r>
        <w:rPr>
          <w:rFonts w:hint="eastAsia"/>
          <w:sz w:val="32"/>
          <w:szCs w:val="32"/>
          <w:lang w:eastAsia="zh-CN"/>
        </w:rPr>
        <w:t>合作</w:t>
      </w:r>
    </w:p>
    <w:p>
      <w:pPr>
        <w:pStyle w:val="5"/>
        <w:bidi w:val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投资意向调查表</w:t>
      </w:r>
    </w:p>
    <w:tbl>
      <w:tblPr>
        <w:tblStyle w:val="9"/>
        <w:tblW w:w="6519" w:type="dxa"/>
        <w:jc w:val="center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意向项目</w:t>
            </w:r>
          </w:p>
        </w:tc>
        <w:tc>
          <w:tcPr>
            <w:tcW w:w="4136" w:type="dxa"/>
            <w:vAlign w:val="center"/>
          </w:tcPr>
          <w:p>
            <w:pPr>
              <w:ind w:firstLine="560" w:firstLineChars="200"/>
              <w:jc w:val="both"/>
              <w:rPr>
                <w:rFonts w:hint="default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项目编号：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CIAMC-ZS-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意向合作方式</w:t>
            </w:r>
          </w:p>
        </w:tc>
        <w:tc>
          <w:tcPr>
            <w:tcW w:w="4136" w:type="dxa"/>
            <w:vAlign w:val="center"/>
          </w:tcPr>
          <w:p>
            <w:pPr>
              <w:ind w:firstLine="560" w:firstLineChars="200"/>
              <w:jc w:val="both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选项：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A:债权收购；B：收购资产；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C：投资项目；D：拍卖处置；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意向人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意向机构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意向人联系方式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其他需要了解的信息、其他需求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00C91"/>
    <w:rsid w:val="1E062D8F"/>
    <w:rsid w:val="205E2892"/>
    <w:rsid w:val="48E00C91"/>
    <w:rsid w:val="582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2019-08-24T10:06:00Z</dcterms:created>
  <dc:creator>郭燕江</dc:creator>
  <cp:lastModifiedBy>郭燕江</cp:lastModifiedBy>
  <dcterms:modified xsi:type="dcterms:W3CDTF">2019-08-27T08:23:39Z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